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Nastavení služeb Poradenského centra pro nadané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Dokument určený veřejnosti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Aktivita projektu „Podpora vzdělávání nadaných žáků v Jihomoravském kraji“ (iKAP JMK II, číslo projektu: CZ.02.3.68/0.0/0.0/19_078/0017177) je realizována v rámci Operačního programu Výzkum, vývoj a vzdělávání s finanční podporou z Evropské unie a Ministerstva školství mládeže a tělovýchovy. Aktivity jsou realizovány Jihomoravským krajem ve spolupráci s JCMM, z. s. p. o. jako partnerem, který naplňuje aktivity v rámci podpory vzdělávání nadaných žáků. Realizace je stanovena od 1. 9. 2020 do 31. 8.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5730240" cy="601980"/>
            <wp:effectExtent b="0" l="0" r="0" t="0"/>
            <wp:docPr descr="https://lh3.googleusercontent.com/8cqgb2Wirio1DYlzepzfESVfA6QCEWERtzkg0mtyamCnrkPxbgQyNJyElQag1Id6kr1xAPI4pv2caQVZrqQaPZa_NQ1tnJdIlBXGa-SORNCFQK7hmqVSKh1LBvcqxLTyyMfhQFog" id="3" name="image2.jpg"/>
            <a:graphic>
              <a:graphicData uri="http://schemas.openxmlformats.org/drawingml/2006/picture">
                <pic:pic>
                  <pic:nvPicPr>
                    <pic:cNvPr descr="https://lh3.googleusercontent.com/8cqgb2Wirio1DYlzepzfESVfA6QCEWERtzkg0mtyamCnrkPxbgQyNJyElQag1Id6kr1xAPI4pv2caQVZrqQaPZa_NQ1tnJdIlBXGa-SORNCFQK7hmqVSKh1LBvcqxLTyyMfhQFo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01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Poradenské centrum pro nadané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4" w:val="single"/>
        </w:pBd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Podmínky poskytování poradenských služeb jsou nastaveny pro následující formy poradenství: e-mail, telefon, online individuální konzultace a osobní individuální konzultace. Poradenství je určeno všem níže zmíněným cílovým skupinám demograficky příslušným do Jihomoravského kraje.</w:t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360" w:lineRule="auto"/>
        <w:ind w:left="425.19685039370086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DEFINICE PORADENSKÉ SLUŽBY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bezplatná konzultační činnost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rozšiřující vyšetření pro identifikované intelektově nadané děti diagnostickou baterií Woodcock-Johnson IV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bezplatná informační činnost týkající se volnočasových mimoškolních aktivit primárně organizovaných JCMM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bezplatná metodická podpora </w:t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DEFINICE CÍLOVÉ SKUPINY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žáci a studenti  z JmK (1. a 2. stupeň ZŠ a odpovídající ročníky víceletých gymnázií), kteří byli identifikovaní jako intelektově nadaní prostřednictvím screeningového diagnostického systému Invenio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 byli doporučeni k rozvojovým aktivitám, nebo žáci a studenti JmK, kteří byli diagnostikováni jako intelektově nadaní či mimořádně intelektově nadaní prostřednictvím pedagogicko-psychologické poradny nebo speciálního pedagogického centra  a mají potvrzený formulář JCMM nebo doručí zprávu z vyšetření v PPP, SPC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zákonní zástupci těchto žáků a studentů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edagog</w:t>
      </w:r>
      <w:r w:rsidDel="00000000" w:rsidR="00000000" w:rsidRPr="00000000">
        <w:rPr>
          <w:rtl w:val="0"/>
        </w:rPr>
        <w:t xml:space="preserve">ové a pedagogičtí pracovníci základních a středních škol v JmK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laická a odborná veřejnost v JmK zajímající se o tuto problematiku.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KRITÉRIA IDENTIFIKACE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Žáci a studenti jsou přijímání do služeb poradenského centra na základě identifikace intelektového nadání prostřednictvím plošného moderního  standardizovaného screeningového diagnostického nástroje Invenio (FSS MU) nebo prostřednictvím  moderních a standardizovaných diagnostických testů, jejichž standardizace proběhla relativně nedávno. 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NABÍZENÉ SLUŽBY PODROBNĚJI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Bezplatná konzultační činnost </w:t>
      </w:r>
      <w:r w:rsidDel="00000000" w:rsidR="00000000" w:rsidRPr="00000000">
        <w:rPr>
          <w:rtl w:val="0"/>
        </w:rPr>
        <w:t xml:space="preserve">poskytovaná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 výše zmíněné cílové skupiny (a-b) a to v těchto oblastech: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poskytování informací o možnostech testování žáků prostřednictvím standardizovaného diagnostického nástroje </w:t>
      </w:r>
      <w:hyperlink r:id="rId8">
        <w:r w:rsidDel="00000000" w:rsidR="00000000" w:rsidRPr="00000000">
          <w:rPr>
            <w:rtl w:val="0"/>
          </w:rPr>
          <w:t xml:space="preserve">Inveni</w:t>
        </w:r>
      </w:hyperlink>
      <w:r w:rsidDel="00000000" w:rsidR="00000000" w:rsidRPr="00000000">
        <w:rPr>
          <w:rtl w:val="0"/>
        </w:rPr>
        <w:t xml:space="preserve">o, včetně konzultace výsledků</w:t>
        <w:br w:type="textWrapping"/>
        <w:t xml:space="preserve">- </w:t>
      </w:r>
      <w:r w:rsidDel="00000000" w:rsidR="00000000" w:rsidRPr="00000000">
        <w:rPr>
          <w:rtl w:val="0"/>
        </w:rPr>
        <w:t xml:space="preserve">prescreening</w:t>
      </w:r>
      <w:r w:rsidDel="00000000" w:rsidR="00000000" w:rsidRPr="00000000">
        <w:rPr>
          <w:rtl w:val="0"/>
        </w:rPr>
        <w:t xml:space="preserve"> nadaných žáků ve 4. třídách ZŠ nebo  odpovídajících </w:t>
      </w:r>
      <w:r w:rsidDel="00000000" w:rsidR="00000000" w:rsidRPr="00000000">
        <w:rPr>
          <w:rtl w:val="0"/>
        </w:rPr>
        <w:t xml:space="preserve">ročník</w:t>
      </w:r>
      <w:r w:rsidDel="00000000" w:rsidR="00000000" w:rsidRPr="00000000">
        <w:rPr>
          <w:rtl w:val="0"/>
        </w:rPr>
        <w:t xml:space="preserve">ů gymnázií v JMK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poskytování informací o školských poradenských  zařízeních (PPP, SPC)</w:t>
      </w:r>
    </w:p>
    <w:p w:rsidR="00000000" w:rsidDel="00000000" w:rsidP="00000000" w:rsidRDefault="00000000" w:rsidRPr="00000000" w14:paraId="00000039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Bezplatné doplňkové vyšetření komplexní diagnostickou baterií Woodcock-Johnson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doplnění screeningového vyšetření (INVENIO) pro lepší nastavení rozvojových aktivit</w:t>
      </w:r>
    </w:p>
    <w:p w:rsidR="00000000" w:rsidDel="00000000" w:rsidP="00000000" w:rsidRDefault="00000000" w:rsidRPr="00000000" w14:paraId="0000003D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v odůvodněných případech po individuální konzultaci </w:t>
      </w:r>
    </w:p>
    <w:p w:rsidR="00000000" w:rsidDel="00000000" w:rsidP="00000000" w:rsidRDefault="00000000" w:rsidRPr="00000000" w14:paraId="0000003E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Bezplatná informační podpora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aktivity JCMM se zaměřením na rozvoj nadaných žáků,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spolupracující školy v systému podpory nadání,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organizace podporující rozvoj nadání, 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nabídky olympiád, soutěží a dalších volnočasových činností pro nadané,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doporučení herních aktivit (online, offline, deskové hry, smart games),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doporučení publikací (odborné publikace, encyklopedie pro žáky, pracovní sešity)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Bezplatná metodická podpora (paní Veselá, NPI ČR)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legislativní rámec související s problematikou nadání v České republice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metodika školské podpory vzdělávání nadaných 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FORMY POSKYTOVANÝCH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e-mailem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telefonicky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online individuální konzultace 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osobní setkání v prostorách JCMM, Česká 166/11, Brno (pouze po předchozí domluvě)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Poradci poskytují tyto služby dle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METODIKY JEDNOTLIVÝCH FOREM PORADENSKÝCH SLUŽEB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která je detailně popsána v interním dokumentu „Nastavení služeb poradenského centra_INTERNÍ“.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PORADENSTVÍ POSKYTUJÍ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Poradce psycholog</w:t>
      </w:r>
    </w:p>
    <w:p w:rsidR="00000000" w:rsidDel="00000000" w:rsidP="00000000" w:rsidRDefault="00000000" w:rsidRPr="00000000" w14:paraId="0000005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Poskytuje individuální konzultace rodičům a identifikovaným nadaným žákům. Provádí rozšiřující diagnostiku za pomoci diagnostického nástroje (</w:t>
      </w: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Woodcock-Johnson IV)</w:t>
      </w:r>
      <w:r w:rsidDel="00000000" w:rsidR="00000000" w:rsidRPr="00000000">
        <w:rPr>
          <w:rtl w:val="0"/>
        </w:rPr>
        <w:t xml:space="preserve">. Informuje o aktivitách prescreeningu a o rozvojových aktivitách. Psycholog se podílí i na realizaci prescreeningu a aktivit v rámci klubu pro nadané a jejich rodiče.</w:t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Poradce pedagog 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Poskytuje bezplatnou informační podporu v oblasti metodiky školské podpory vzdělávání nadaných a odpovídající legislativy. </w:t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Obecný poradce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Poskytuje bezplatnou informační podporu, podílí se na přípravě a realizaci aktivit v rámci klubu pro nadané.</w:t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Pravidla informování zájemce o službách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webových stránkách JCMM bude zpřístupněn tento dokument, který podrobně informuje o nastavení a poskytování poradenských služeb. Tyto informace mohou být také poskytovány v rámci úvodního jednání se zájemcem o službu. Informace mohou být uživateli poskytnuty i telefonickou, e-mailovou nebo osobní formou.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70" w:line="240" w:lineRule="auto"/>
        <w:ind w:left="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Základní informace poskytované zájemci o službu: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before="194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jméno, příjmení poradce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adresa organizace, kontaktní informace 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otevírací doba 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základní nabídka služeb (výčet) 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okolnosti poskytování služeb: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 mlčenlivosti pracovníků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39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diskrétnost (bez vědomí a souhlasu uživatele nesdělujeme informace o uživateli a  průběhu konzultací ani jeho nejbližším)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bezplatnost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doporučení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54" w:line="240" w:lineRule="auto"/>
        <w:ind w:right="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Případy poskytování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pacing w:after="0" w:before="54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Zájemce o poradenství je cílovou skupinou poradenského centra.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0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Poptávka zájemce odpovídá nabídce poradenských služeb.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spacing w:after="0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Kapacita poradenských služeb není zcela naplněna.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54" w:line="240" w:lineRule="auto"/>
        <w:ind w:left="8" w:right="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Případy neposkytování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spacing w:after="0" w:before="54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Zájemce o poradenství není cílovou skupinou poradenského centra.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pacing w:after="0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Kapacita poradenských služeb je zcela naplněna.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pacing w:after="0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Poptávka zájemce neodpovídá nabídce poradenských služeb.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pacing w:after="0" w:line="240" w:lineRule="auto"/>
        <w:ind w:left="720" w:right="9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Klient porušuje stanovená pravidla, kvůli kterým může poradce poradenství okamžitě ukončit (viz níže “Ukončení poskytované služby ze strany poradce”)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Ukončení poskytované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Ze strany klienta, pokud: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jsou naplněny jeho potřeby,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dále nepotřebuje využívat poradenské služby,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přeje si službu ukončit bez nutnosti udání důvodu.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Ze strany poradce, pokud: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klient využil maximální možný počet setkání (3 osIK/oIK), volaných 50-60 minut, počet napsaných e-mailů (deset e-mailů ze strany klienta),</w:t>
      </w:r>
    </w:p>
    <w:p w:rsidR="00000000" w:rsidDel="00000000" w:rsidP="00000000" w:rsidRDefault="00000000" w:rsidRPr="00000000" w14:paraId="0000007C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klient nesplňuje podmínky, které ho opravňují k užívání poradenského centra,</w:t>
      </w:r>
    </w:p>
    <w:p w:rsidR="00000000" w:rsidDel="00000000" w:rsidP="00000000" w:rsidRDefault="00000000" w:rsidRPr="00000000" w14:paraId="0000007D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neposkytujeme typ služby, o níž zájemce projevuje zájem,</w:t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zájemce je agresivní, fyzicky či slovně napadá pracovníka, resp. jeho cílem je zneužití služby,</w:t>
      </w:r>
    </w:p>
    <w:p w:rsidR="00000000" w:rsidDel="00000000" w:rsidP="00000000" w:rsidRDefault="00000000" w:rsidRPr="00000000" w14:paraId="0000007F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 aktuálně není v kapacitních možnostech zařízení, tzn., jsou dlouhodobě překročeny limity  služeb,</w:t>
      </w:r>
    </w:p>
    <w:p w:rsidR="00000000" w:rsidDel="00000000" w:rsidP="00000000" w:rsidRDefault="00000000" w:rsidRPr="00000000" w14:paraId="00000080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dojde k dohodě o ukončení služby obou stran.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ETICKÉ ZÁSADY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afterAutospacing="0" w:line="240" w:lineRule="auto"/>
        <w:ind w:left="720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Poradce ctí jedinečnost každého člověka bez ohledu na jeho původ, etnickou příslušnost,  mateřský jazyk, věk, zdravotní stav, sexuální orientaci, ekonomickou situaci, náboženské </w:t>
        <w:br w:type="textWrapping"/>
        <w:t xml:space="preserve">a  politické přesvědčení a bez ohledu na to, jak se daný člověk podílí na životě a chodu celé  společnosti. 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7"/>
        </w:numPr>
        <w:spacing w:after="0" w:afterAutospacing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Poradce usiluje o zajištění vysoké odborné úrovně a kvality poskytovaných služeb, přičemž  poskytuje pouze ty služby, které je v rámci své odbornosti kompetentní poskytovat. 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7"/>
        </w:numPr>
        <w:spacing w:after="0" w:afterAutospacing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Poradce dává přednost profesionální etické odpovědnosti před svými soukromými zájmy.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7"/>
        </w:numPr>
        <w:spacing w:after="0" w:afterAutospacing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Mezi základní hodnoty řadíme právo klienta na soukromí, důvěrnost, sebeurčení </w:t>
        <w:br w:type="textWrapping"/>
        <w:t xml:space="preserve">a 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autonomii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 Tyto principy se uplatňují v přístupu ke klientům a musí být v souladu nejen </w:t>
        <w:br w:type="textWrapping"/>
        <w:t xml:space="preserve">s  profesionálními povinnostmi, ale i se zákonem. 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7"/>
        </w:numPr>
        <w:spacing w:after="0" w:afterAutospacing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Respektujeme klienta jako rovnocenného partnera se všemi občanskými právy </w:t>
        <w:br w:type="textWrapping"/>
        <w:t xml:space="preserve">a  povinnostmi, včetně jeho vlastní odpovědnosti za své jednání a zdraví, přičemž pracovník  jedná tak, aby neohrozil důstojnost a lidská práva klienta. 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7"/>
        </w:numPr>
        <w:spacing w:after="0" w:afterAutospacing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Poradce pomáhá všem klientům, kteří o pomoc stojí, se stejným úsilím a bez jakékoliv formy diskriminace. 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7"/>
        </w:numPr>
        <w:spacing w:after="0" w:before="0" w:beforeAutospacing="0" w:line="262.39477157592773" w:lineRule="auto"/>
        <w:ind w:left="720" w:right="63.740234375" w:hanging="36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Poradce je povinen zachovávat mlčenlivost (dle zákona o zpracování osobních údajů,  </w:t>
        <w:br w:type="textWrapping"/>
        <w:t xml:space="preserve">č. 110/2019 Sb., ve znění pozdějších předpisů, a dle zákoníku práce) o skutečnostech, které se dozvěděl v souvislosti s výkonem své profese a které se vztahují ke klientovi, a to i po </w:t>
      </w:r>
      <w:r w:rsidDel="00000000" w:rsidR="00000000" w:rsidRPr="00000000">
        <w:rPr>
          <w:sz w:val="22.079999923706055"/>
          <w:szCs w:val="22.079999923706055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912975</wp:posOffset>
            </wp:positionH>
            <wp:positionV relativeFrom="page">
              <wp:posOffset>9777600</wp:posOffset>
            </wp:positionV>
            <wp:extent cx="5731200" cy="596900"/>
            <wp:effectExtent b="0" l="0" r="0" t="0"/>
            <wp:wrapSquare wrapText="bothSides" distB="19050" distT="19050" distL="19050" distR="1905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2.079999923706055"/>
          <w:szCs w:val="22.079999923706055"/>
          <w:rtl w:val="0"/>
        </w:rPr>
        <w:t xml:space="preserve">ukončení pracovní  spolupráce.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E949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E949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94990"/>
  </w:style>
  <w:style w:type="paragraph" w:styleId="Zpat">
    <w:name w:val="footer"/>
    <w:basedOn w:val="Normln"/>
    <w:link w:val="ZpatChar"/>
    <w:uiPriority w:val="99"/>
    <w:unhideWhenUsed w:val="1"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94990"/>
  </w:style>
  <w:style w:type="paragraph" w:styleId="Odstavecseseznamem">
    <w:name w:val="List Paragraph"/>
    <w:basedOn w:val="Normln"/>
    <w:uiPriority w:val="34"/>
    <w:qFormat w:val="1"/>
    <w:rsid w:val="00E949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testy-schopnosti.cz/system-invenio-zakladni-informa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J/YOhG9f/2oDakspdPIUDaerA==">AMUW2mVNRnHImPjGaeS86PK3a3Alrs0tOFjgT5QFLxv3ANoIiwXhZBOpMphNNQZn+/mblNayFp10JaMnY/O8+RFsBUJXezAMgEKiN01b11UVFhBPowjvMpRFO5aYpltVWbrITELMu1d3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2021-01-27T08:39:00Z</dcterms:created>
  <dc:creator>CVV</dc:creator>
</cp:coreProperties>
</file>